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48A1B" w14:textId="77777777" w:rsidR="00BE761C" w:rsidRPr="0025283E" w:rsidRDefault="00BE761C" w:rsidP="00BE761C">
      <w:pPr>
        <w:ind w:left="5040"/>
        <w:rPr>
          <w:sz w:val="24"/>
          <w:szCs w:val="24"/>
        </w:rPr>
      </w:pPr>
      <w:r w:rsidRPr="0025283E">
        <w:rPr>
          <w:sz w:val="24"/>
          <w:szCs w:val="24"/>
        </w:rPr>
        <w:t>УТВЕРЖДЕНА</w:t>
      </w:r>
    </w:p>
    <w:p w14:paraId="1AB33BE0" w14:textId="77777777" w:rsidR="00BE761C" w:rsidRPr="0025283E" w:rsidRDefault="00BE761C" w:rsidP="00BE761C">
      <w:pPr>
        <w:ind w:left="5040"/>
        <w:rPr>
          <w:sz w:val="24"/>
          <w:szCs w:val="24"/>
        </w:rPr>
      </w:pPr>
      <w:r w:rsidRPr="0025283E">
        <w:rPr>
          <w:sz w:val="24"/>
          <w:szCs w:val="24"/>
        </w:rPr>
        <w:t xml:space="preserve">постановлением администрации </w:t>
      </w:r>
    </w:p>
    <w:p w14:paraId="690CC2D6" w14:textId="77777777" w:rsidR="00BE761C" w:rsidRPr="0025283E" w:rsidRDefault="00BE761C" w:rsidP="00BE761C">
      <w:pPr>
        <w:ind w:left="5040"/>
        <w:rPr>
          <w:sz w:val="24"/>
          <w:szCs w:val="24"/>
        </w:rPr>
      </w:pPr>
      <w:r w:rsidRPr="0025283E">
        <w:rPr>
          <w:sz w:val="24"/>
          <w:szCs w:val="24"/>
        </w:rPr>
        <w:t>Тихвинского района</w:t>
      </w:r>
    </w:p>
    <w:p w14:paraId="299B6A01" w14:textId="08A4B078" w:rsidR="00BE761C" w:rsidRPr="0025283E" w:rsidRDefault="00BE761C" w:rsidP="00BE761C">
      <w:pPr>
        <w:tabs>
          <w:tab w:val="left" w:pos="5940"/>
        </w:tabs>
        <w:ind w:left="5040"/>
        <w:rPr>
          <w:sz w:val="24"/>
          <w:szCs w:val="24"/>
        </w:rPr>
      </w:pPr>
      <w:r w:rsidRPr="0025283E">
        <w:rPr>
          <w:sz w:val="24"/>
          <w:szCs w:val="24"/>
        </w:rPr>
        <w:t xml:space="preserve">от  </w:t>
      </w:r>
      <w:r w:rsidR="0025283E">
        <w:rPr>
          <w:sz w:val="24"/>
          <w:szCs w:val="24"/>
        </w:rPr>
        <w:t>1 ноября</w:t>
      </w:r>
      <w:r w:rsidRPr="0025283E">
        <w:rPr>
          <w:sz w:val="24"/>
          <w:szCs w:val="24"/>
        </w:rPr>
        <w:t xml:space="preserve"> 2025 года № 01-</w:t>
      </w:r>
      <w:r w:rsidR="0025283E">
        <w:rPr>
          <w:sz w:val="24"/>
          <w:szCs w:val="24"/>
        </w:rPr>
        <w:t>2938</w:t>
      </w:r>
      <w:r w:rsidRPr="0025283E">
        <w:rPr>
          <w:sz w:val="24"/>
          <w:szCs w:val="24"/>
        </w:rPr>
        <w:t>-а</w:t>
      </w:r>
    </w:p>
    <w:p w14:paraId="4A3E6F2C" w14:textId="77777777" w:rsidR="00BE761C" w:rsidRPr="0025283E" w:rsidRDefault="00BE761C" w:rsidP="00BE761C">
      <w:pPr>
        <w:ind w:left="5040"/>
        <w:rPr>
          <w:sz w:val="24"/>
          <w:szCs w:val="24"/>
        </w:rPr>
      </w:pPr>
      <w:r w:rsidRPr="0025283E">
        <w:rPr>
          <w:sz w:val="24"/>
          <w:szCs w:val="24"/>
        </w:rPr>
        <w:t>(приложение)</w:t>
      </w:r>
    </w:p>
    <w:p w14:paraId="488E3E7C" w14:textId="77777777" w:rsidR="003E0790" w:rsidRPr="0025283E" w:rsidRDefault="003E0790" w:rsidP="00BE761C">
      <w:pPr>
        <w:ind w:left="5040"/>
        <w:rPr>
          <w:sz w:val="24"/>
          <w:szCs w:val="24"/>
        </w:rPr>
      </w:pPr>
    </w:p>
    <w:p w14:paraId="584176E0" w14:textId="77777777" w:rsidR="00B06F1C" w:rsidRDefault="00B06F1C" w:rsidP="00BE761C">
      <w:pPr>
        <w:ind w:left="5040"/>
        <w:rPr>
          <w:sz w:val="24"/>
          <w:szCs w:val="24"/>
        </w:rPr>
      </w:pPr>
    </w:p>
    <w:p w14:paraId="41FCB73C" w14:textId="77777777" w:rsidR="00BE761C" w:rsidRPr="003E0790" w:rsidRDefault="00BE761C" w:rsidP="00BE761C">
      <w:pPr>
        <w:jc w:val="center"/>
        <w:rPr>
          <w:color w:val="000000"/>
          <w:sz w:val="24"/>
          <w:szCs w:val="24"/>
        </w:rPr>
      </w:pPr>
      <w:r w:rsidRPr="003E0790">
        <w:rPr>
          <w:b/>
          <w:bCs/>
          <w:sz w:val="24"/>
          <w:szCs w:val="24"/>
        </w:rPr>
        <w:t>Муниципальная программа Тихвинского</w:t>
      </w:r>
      <w:r w:rsidRPr="003E0790">
        <w:rPr>
          <w:b/>
          <w:bCs/>
          <w:color w:val="000000"/>
          <w:sz w:val="24"/>
          <w:szCs w:val="24"/>
        </w:rPr>
        <w:t xml:space="preserve"> района</w:t>
      </w:r>
      <w:r w:rsidRPr="003E0790">
        <w:rPr>
          <w:color w:val="000000"/>
          <w:sz w:val="24"/>
          <w:szCs w:val="24"/>
        </w:rPr>
        <w:t xml:space="preserve"> </w:t>
      </w:r>
    </w:p>
    <w:p w14:paraId="170E60F3" w14:textId="77777777" w:rsidR="00BE761C" w:rsidRPr="003E0790" w:rsidRDefault="00BE761C" w:rsidP="00BE761C">
      <w:pPr>
        <w:jc w:val="center"/>
        <w:rPr>
          <w:b/>
          <w:bCs/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 xml:space="preserve">«Развитие системы отдыха, оздоровления, занятости </w:t>
      </w:r>
    </w:p>
    <w:p w14:paraId="1DAA1030" w14:textId="77777777" w:rsidR="00BE761C" w:rsidRPr="003E0790" w:rsidRDefault="00BE761C" w:rsidP="00BE761C">
      <w:pPr>
        <w:jc w:val="center"/>
        <w:rPr>
          <w:b/>
          <w:bCs/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 xml:space="preserve">детей, подростков и молодежи в каникулярное время» </w:t>
      </w:r>
    </w:p>
    <w:p w14:paraId="203BC6F9" w14:textId="77777777" w:rsidR="00BE761C" w:rsidRPr="003E0790" w:rsidRDefault="00BE761C" w:rsidP="00BE761C">
      <w:pPr>
        <w:jc w:val="center"/>
        <w:rPr>
          <w:b/>
          <w:bCs/>
          <w:color w:val="000000"/>
          <w:sz w:val="24"/>
          <w:szCs w:val="24"/>
        </w:rPr>
      </w:pPr>
    </w:p>
    <w:p w14:paraId="304D0783" w14:textId="77777777" w:rsidR="00BE761C" w:rsidRPr="003E0790" w:rsidRDefault="00BE761C" w:rsidP="00BE761C">
      <w:pPr>
        <w:jc w:val="center"/>
        <w:rPr>
          <w:b/>
          <w:bCs/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>ПАСПОРТ</w:t>
      </w:r>
    </w:p>
    <w:p w14:paraId="16260A41" w14:textId="77777777" w:rsidR="00BE761C" w:rsidRPr="003E0790" w:rsidRDefault="00BE761C" w:rsidP="00BE761C">
      <w:pPr>
        <w:jc w:val="center"/>
        <w:rPr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>муниципальной программы Тихвинского района</w:t>
      </w:r>
      <w:r w:rsidRPr="003E0790">
        <w:rPr>
          <w:color w:val="000000"/>
          <w:sz w:val="24"/>
          <w:szCs w:val="24"/>
        </w:rPr>
        <w:t xml:space="preserve"> </w:t>
      </w:r>
    </w:p>
    <w:p w14:paraId="4C641509" w14:textId="77777777" w:rsidR="00BE761C" w:rsidRPr="003E0790" w:rsidRDefault="00BE761C" w:rsidP="00BE761C">
      <w:pPr>
        <w:jc w:val="center"/>
        <w:rPr>
          <w:b/>
          <w:bCs/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 xml:space="preserve">«Развитие системы отдыха, оздоровления, занятости </w:t>
      </w:r>
    </w:p>
    <w:p w14:paraId="3687E7AA" w14:textId="77777777" w:rsidR="00BE761C" w:rsidRPr="003E0790" w:rsidRDefault="00BE761C" w:rsidP="00BE761C">
      <w:pPr>
        <w:jc w:val="center"/>
        <w:rPr>
          <w:color w:val="000000"/>
          <w:sz w:val="24"/>
          <w:szCs w:val="24"/>
        </w:rPr>
      </w:pPr>
      <w:r w:rsidRPr="003E0790">
        <w:rPr>
          <w:b/>
          <w:bCs/>
          <w:color w:val="000000"/>
          <w:sz w:val="24"/>
          <w:szCs w:val="24"/>
        </w:rPr>
        <w:t>детей,</w:t>
      </w:r>
      <w:r w:rsidRPr="003E0790">
        <w:rPr>
          <w:color w:val="000000"/>
          <w:sz w:val="24"/>
          <w:szCs w:val="24"/>
        </w:rPr>
        <w:t xml:space="preserve"> </w:t>
      </w:r>
      <w:r w:rsidRPr="003E0790">
        <w:rPr>
          <w:b/>
          <w:bCs/>
          <w:color w:val="000000"/>
          <w:sz w:val="24"/>
          <w:szCs w:val="24"/>
        </w:rPr>
        <w:t xml:space="preserve">подростков и молодежи в каникулярное время»  </w:t>
      </w:r>
    </w:p>
    <w:p w14:paraId="16CF4618" w14:textId="77777777" w:rsidR="00BE761C" w:rsidRDefault="00BE761C" w:rsidP="00BE761C">
      <w:pPr>
        <w:jc w:val="center"/>
        <w:rPr>
          <w:b/>
          <w:color w:val="000000"/>
          <w:szCs w:val="28"/>
        </w:rPr>
      </w:pPr>
    </w:p>
    <w:tbl>
      <w:tblPr>
        <w:tblW w:w="5000" w:type="pct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58"/>
        <w:gridCol w:w="5808"/>
      </w:tblGrid>
      <w:tr w:rsidR="00BE761C" w14:paraId="302A1982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46C0513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0B50DE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2026-2028 годы</w:t>
            </w:r>
          </w:p>
        </w:tc>
      </w:tr>
      <w:tr w:rsidR="00BE761C" w14:paraId="71ACFE6D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21674B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1344" w14:textId="6867C804" w:rsidR="00BE761C" w:rsidRDefault="00BE761C" w:rsidP="006754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комитет по образованию администрации Тихвинского района</w:t>
            </w:r>
          </w:p>
        </w:tc>
      </w:tr>
      <w:tr w:rsidR="00BE761C" w14:paraId="5331F56D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A99CED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F5F75B" w14:textId="77777777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комитет социальной защиты населения администрации Тихвинского района; </w:t>
            </w:r>
          </w:p>
          <w:p w14:paraId="7C1F2DEE" w14:textId="77777777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комитет по культуре, спорту и молодежной политике администрации Тихвинского района</w:t>
            </w:r>
          </w:p>
        </w:tc>
      </w:tr>
      <w:tr w:rsidR="00BE761C" w14:paraId="7DCF2A94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A13B14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6437FF" w14:textId="77777777" w:rsidR="00BE761C" w:rsidRDefault="00BE761C" w:rsidP="003E0790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муниципальные образовательные учреждения дополнительного образования детей,</w:t>
            </w:r>
          </w:p>
          <w:p w14:paraId="01C5014A" w14:textId="77777777" w:rsidR="00BE761C" w:rsidRDefault="00BE761C" w:rsidP="003E0790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муниципальные общеобразовательные учреждения</w:t>
            </w:r>
          </w:p>
        </w:tc>
      </w:tr>
      <w:tr w:rsidR="00BE761C" w14:paraId="7410D169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A1608A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014069" w14:textId="77777777" w:rsidR="00BE761C" w:rsidRDefault="00BE761C" w:rsidP="003E0790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системы летнего оздоровления, отдыха и занятости детей и подростков в Тихвинском районе, в том числе находящихся в трудной жизненной ситуации</w:t>
            </w:r>
          </w:p>
        </w:tc>
      </w:tr>
      <w:tr w:rsidR="00BE761C" w14:paraId="5DEFBBCD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3E9E1C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44607B" w14:textId="05EEAC13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Обеспечение доступности организованными формами оздоровления и отдыха детей, подростков и</w:t>
            </w:r>
            <w:r w:rsidR="0080721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молодежи Тихвинского района.</w:t>
            </w:r>
          </w:p>
          <w:p w14:paraId="27360D07" w14:textId="6D7A7EF9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Организации оздоровления и летнего отдыха детей и подростков, находящихся в трудной жизненной ситуации, детей-сирот и детей, оставшихся без</w:t>
            </w:r>
            <w:r w:rsidR="0080721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попечения родителей</w:t>
            </w:r>
            <w:r w:rsidR="003E0790">
              <w:rPr>
                <w:color w:val="000000"/>
                <w:sz w:val="24"/>
                <w:szCs w:val="24"/>
              </w:rPr>
              <w:t>.</w:t>
            </w:r>
          </w:p>
          <w:p w14:paraId="5F9E7DD0" w14:textId="484AD8C0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Организация временной трудовой занятости детей, подростков и молод</w:t>
            </w:r>
            <w:r w:rsidR="00207469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жи на условиях софинансирования с работодателями и Тихвинским центром занятости населения. </w:t>
            </w:r>
          </w:p>
          <w:p w14:paraId="5E4D7E36" w14:textId="5E263C1B" w:rsidR="00BE761C" w:rsidRDefault="00BE761C" w:rsidP="003E07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Сохранение количества учреждений отдыха и</w:t>
            </w:r>
            <w:r w:rsidR="0080721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оздоровления, принимающих детей и подростков на</w:t>
            </w:r>
            <w:r w:rsidR="0080721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отдых в летний период</w:t>
            </w:r>
            <w:r w:rsidR="003E0790">
              <w:rPr>
                <w:color w:val="000000"/>
                <w:sz w:val="24"/>
                <w:szCs w:val="24"/>
              </w:rPr>
              <w:t>.</w:t>
            </w:r>
          </w:p>
        </w:tc>
      </w:tr>
      <w:tr w:rsidR="00BE761C" w14:paraId="63E864A5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048DAD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BBF665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E761C" w14:paraId="0BC78BA2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569F39E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Проекты, реализуемые в рамках муниципальных программ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B3E0E5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BE761C" w14:paraId="48EAD6E3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44828C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муниципальной программы – всего, в том числе по годам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50ED48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финансового обеспечения реализации муниципальной программы составляет </w:t>
            </w:r>
            <w:r>
              <w:rPr>
                <w:b/>
                <w:sz w:val="24"/>
                <w:szCs w:val="24"/>
              </w:rPr>
              <w:t xml:space="preserve">93 240,4 </w:t>
            </w:r>
            <w:r>
              <w:rPr>
                <w:b/>
                <w:bCs/>
                <w:sz w:val="24"/>
                <w:szCs w:val="24"/>
              </w:rPr>
              <w:t>тыс. руб.</w:t>
            </w:r>
          </w:p>
          <w:p w14:paraId="07ABB462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 xml:space="preserve">Прогнозная оценка финансового обеспечения муниципальной программы составляет </w:t>
            </w:r>
            <w:r>
              <w:rPr>
                <w:b/>
                <w:sz w:val="24"/>
                <w:szCs w:val="24"/>
              </w:rPr>
              <w:t xml:space="preserve">93 240,4 </w:t>
            </w:r>
            <w:r>
              <w:rPr>
                <w:b/>
                <w:bCs/>
                <w:sz w:val="24"/>
                <w:szCs w:val="24"/>
              </w:rPr>
              <w:t>тыс. руб.</w:t>
            </w:r>
          </w:p>
          <w:p w14:paraId="6133CEA5" w14:textId="77777777" w:rsidR="00BE761C" w:rsidRDefault="00BE761C" w:rsidP="00BE761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Тихвинского района 38 154,2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4"/>
                <w:szCs w:val="24"/>
              </w:rPr>
              <w:t>тыс. руб.</w:t>
            </w:r>
            <w:r>
              <w:rPr>
                <w:sz w:val="24"/>
                <w:szCs w:val="24"/>
              </w:rPr>
              <w:t xml:space="preserve"> </w:t>
            </w:r>
          </w:p>
          <w:p w14:paraId="1B8B6EE1" w14:textId="77777777" w:rsidR="00BE761C" w:rsidRDefault="00BE761C" w:rsidP="00BE761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0,0 тыс. руб.</w:t>
            </w:r>
          </w:p>
          <w:p w14:paraId="4F296689" w14:textId="77777777" w:rsidR="00BE761C" w:rsidRDefault="00BE761C" w:rsidP="00BE761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55 086,2 </w:t>
            </w:r>
            <w:r>
              <w:rPr>
                <w:bCs/>
                <w:sz w:val="24"/>
                <w:szCs w:val="24"/>
              </w:rPr>
              <w:t>тыс. руб.</w:t>
            </w:r>
          </w:p>
          <w:p w14:paraId="024F6379" w14:textId="77777777" w:rsidR="00BE761C" w:rsidRDefault="00BE761C" w:rsidP="00BE761C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 0,0 тыс. руб. </w:t>
            </w:r>
            <w:r>
              <w:rPr>
                <w:sz w:val="24"/>
                <w:szCs w:val="24"/>
              </w:rPr>
              <w:tab/>
            </w:r>
          </w:p>
          <w:p w14:paraId="3AA7DA4C" w14:textId="77777777" w:rsidR="00BE761C" w:rsidRDefault="00BE761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по годам: </w:t>
            </w:r>
          </w:p>
          <w:p w14:paraId="546E5812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2026 году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 xml:space="preserve">31 082,1 </w:t>
            </w:r>
            <w:r>
              <w:rPr>
                <w:b/>
                <w:bCs/>
                <w:sz w:val="24"/>
                <w:szCs w:val="24"/>
              </w:rPr>
              <w:t>тыс. руб.,</w:t>
            </w:r>
            <w:r>
              <w:rPr>
                <w:sz w:val="24"/>
                <w:szCs w:val="24"/>
              </w:rPr>
              <w:t xml:space="preserve"> из них:</w:t>
            </w:r>
          </w:p>
          <w:p w14:paraId="28359FCE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средств районного бюджета – 13 011,4</w:t>
            </w:r>
            <w:r>
              <w:rPr>
                <w:sz w:val="22"/>
                <w:szCs w:val="22"/>
              </w:rPr>
              <w:t xml:space="preserve"> тыс.</w:t>
            </w:r>
            <w:r>
              <w:rPr>
                <w:sz w:val="24"/>
                <w:szCs w:val="24"/>
              </w:rPr>
              <w:t xml:space="preserve"> руб.</w:t>
            </w:r>
          </w:p>
          <w:p w14:paraId="2C405F94" w14:textId="4A824D02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федерального бюджета – 0,0 тыс. руб.</w:t>
            </w:r>
          </w:p>
          <w:p w14:paraId="3C9F7E04" w14:textId="77777777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областного бюджета - 18 070,7 тыс. руб.</w:t>
            </w:r>
          </w:p>
          <w:p w14:paraId="4DB243B5" w14:textId="77777777" w:rsidR="00BE761C" w:rsidRDefault="00BE7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внебюджетных источников – 0,0 тыс. руб.</w:t>
            </w:r>
          </w:p>
          <w:p w14:paraId="4ADC51F1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2027 году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 xml:space="preserve">30 932,8 </w:t>
            </w:r>
            <w:r>
              <w:rPr>
                <w:b/>
                <w:bCs/>
                <w:sz w:val="24"/>
                <w:szCs w:val="24"/>
              </w:rPr>
              <w:t>тыс. руб.,</w:t>
            </w:r>
            <w:r>
              <w:rPr>
                <w:sz w:val="24"/>
                <w:szCs w:val="24"/>
              </w:rPr>
              <w:t xml:space="preserve"> из них:</w:t>
            </w:r>
          </w:p>
          <w:p w14:paraId="01406691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средств районного бюджета – 12 571,4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тыс. руб.</w:t>
            </w:r>
          </w:p>
          <w:p w14:paraId="1EAB7E40" w14:textId="03D12A5C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федерального бюджета – 0,0 тыс. руб.</w:t>
            </w:r>
          </w:p>
          <w:p w14:paraId="34173239" w14:textId="77777777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областного бюджета - 18 361,4 тыс. руб.</w:t>
            </w:r>
          </w:p>
          <w:p w14:paraId="78EE72EF" w14:textId="77777777" w:rsidR="00BE761C" w:rsidRDefault="00BE7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внебюджетных источников – 0,0 тыс. руб.</w:t>
            </w:r>
          </w:p>
          <w:p w14:paraId="6EBC222F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2028 году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 xml:space="preserve">31 225,5 </w:t>
            </w:r>
            <w:r>
              <w:rPr>
                <w:b/>
                <w:bCs/>
                <w:sz w:val="24"/>
                <w:szCs w:val="24"/>
              </w:rPr>
              <w:t>тыс. руб.,</w:t>
            </w:r>
            <w:r>
              <w:rPr>
                <w:sz w:val="24"/>
                <w:szCs w:val="24"/>
              </w:rPr>
              <w:t xml:space="preserve"> из них:</w:t>
            </w:r>
          </w:p>
          <w:p w14:paraId="42786820" w14:textId="77777777" w:rsidR="00BE761C" w:rsidRDefault="00BE76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средств районного бюджета – 12 571,4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тыс. руб.</w:t>
            </w:r>
          </w:p>
          <w:p w14:paraId="203F61A1" w14:textId="0A52BCBA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федерального бюджета – 0,0 тыс. руб.</w:t>
            </w:r>
          </w:p>
          <w:p w14:paraId="3A911456" w14:textId="77777777" w:rsidR="00BE761C" w:rsidRDefault="00BE761C" w:rsidP="00BE761C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областного бюджета - 18 654,1 тыс. руб.</w:t>
            </w:r>
          </w:p>
          <w:p w14:paraId="6AC5FF95" w14:textId="77777777" w:rsidR="00BE761C" w:rsidRDefault="00BE761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  из внебюджетных источников – 0,0 тыс. руб.</w:t>
            </w:r>
          </w:p>
        </w:tc>
      </w:tr>
      <w:tr w:rsidR="00BE761C" w14:paraId="7386A464" w14:textId="77777777" w:rsidTr="003E0790">
        <w:tc>
          <w:tcPr>
            <w:tcW w:w="17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42A1B2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Размер налоговых расходов, направленных на достижение цели муниципальной программы, всего, в том числе по годам реализации</w:t>
            </w:r>
          </w:p>
        </w:tc>
        <w:tc>
          <w:tcPr>
            <w:tcW w:w="32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4224B2" w14:textId="77777777" w:rsidR="00BE761C" w:rsidRDefault="00BE761C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F5D8778" w14:textId="77777777" w:rsidR="00BE761C" w:rsidRDefault="00BE761C" w:rsidP="00BE761C">
      <w:pPr>
        <w:ind w:left="709"/>
        <w:rPr>
          <w:b/>
          <w:bCs/>
          <w:color w:val="000000"/>
          <w:sz w:val="24"/>
          <w:szCs w:val="28"/>
        </w:rPr>
      </w:pPr>
      <w:bookmarkStart w:id="0" w:name="_GoBack"/>
      <w:bookmarkEnd w:id="0"/>
    </w:p>
    <w:sectPr w:rsidR="00BE761C" w:rsidSect="000A25D1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0F7A8" w14:textId="77777777" w:rsidR="009F7696" w:rsidRDefault="009F7696" w:rsidP="00D30FAD">
      <w:r>
        <w:separator/>
      </w:r>
    </w:p>
  </w:endnote>
  <w:endnote w:type="continuationSeparator" w:id="0">
    <w:p w14:paraId="005AFA47" w14:textId="77777777" w:rsidR="009F7696" w:rsidRDefault="009F7696" w:rsidP="00D3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EECC6" w14:textId="77777777" w:rsidR="009F7696" w:rsidRDefault="009F7696" w:rsidP="00D30FAD">
      <w:r>
        <w:separator/>
      </w:r>
    </w:p>
  </w:footnote>
  <w:footnote w:type="continuationSeparator" w:id="0">
    <w:p w14:paraId="33363EBB" w14:textId="77777777" w:rsidR="009F7696" w:rsidRDefault="009F7696" w:rsidP="00D30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44068"/>
    <w:multiLevelType w:val="hybridMultilevel"/>
    <w:tmpl w:val="E970FAAC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</w:lvl>
    <w:lvl w:ilvl="1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02D44"/>
    <w:multiLevelType w:val="hybridMultilevel"/>
    <w:tmpl w:val="7A0A3F18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42670"/>
    <w:multiLevelType w:val="hybridMultilevel"/>
    <w:tmpl w:val="6CFEE522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77C7E"/>
    <w:multiLevelType w:val="hybridMultilevel"/>
    <w:tmpl w:val="85ACB0D0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764AF"/>
    <w:multiLevelType w:val="hybridMultilevel"/>
    <w:tmpl w:val="C5BE91D6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471A3"/>
    <w:multiLevelType w:val="hybridMultilevel"/>
    <w:tmpl w:val="88FCB222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37971"/>
    <w:multiLevelType w:val="hybridMultilevel"/>
    <w:tmpl w:val="472A952E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55609"/>
    <w:multiLevelType w:val="multilevel"/>
    <w:tmpl w:val="B860CA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2680957"/>
    <w:multiLevelType w:val="hybridMultilevel"/>
    <w:tmpl w:val="0D861A70"/>
    <w:lvl w:ilvl="0" w:tplc="0AB8B772">
      <w:start w:val="1"/>
      <w:numFmt w:val="bullet"/>
      <w:lvlText w:val="-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74D550FE"/>
    <w:multiLevelType w:val="hybridMultilevel"/>
    <w:tmpl w:val="C1D45CD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D5A88"/>
    <w:multiLevelType w:val="hybridMultilevel"/>
    <w:tmpl w:val="D998350E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7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90B4C"/>
    <w:rsid w:val="000A25D1"/>
    <w:rsid w:val="000C13E8"/>
    <w:rsid w:val="000F1A02"/>
    <w:rsid w:val="00137667"/>
    <w:rsid w:val="001464B2"/>
    <w:rsid w:val="0017495E"/>
    <w:rsid w:val="001A2440"/>
    <w:rsid w:val="001B4F8D"/>
    <w:rsid w:val="001F265D"/>
    <w:rsid w:val="00207469"/>
    <w:rsid w:val="002520C4"/>
    <w:rsid w:val="0025283E"/>
    <w:rsid w:val="00285D0C"/>
    <w:rsid w:val="002A2B11"/>
    <w:rsid w:val="002A757B"/>
    <w:rsid w:val="002F22EB"/>
    <w:rsid w:val="00326996"/>
    <w:rsid w:val="003314E0"/>
    <w:rsid w:val="003E0790"/>
    <w:rsid w:val="00421E32"/>
    <w:rsid w:val="0043001D"/>
    <w:rsid w:val="00442AC0"/>
    <w:rsid w:val="004914DD"/>
    <w:rsid w:val="00511A2B"/>
    <w:rsid w:val="00554BEC"/>
    <w:rsid w:val="005707A5"/>
    <w:rsid w:val="00595F6F"/>
    <w:rsid w:val="005C0140"/>
    <w:rsid w:val="006415B0"/>
    <w:rsid w:val="006463D8"/>
    <w:rsid w:val="006754BA"/>
    <w:rsid w:val="006916A9"/>
    <w:rsid w:val="006E4EF7"/>
    <w:rsid w:val="00711921"/>
    <w:rsid w:val="00743D34"/>
    <w:rsid w:val="00796BD1"/>
    <w:rsid w:val="00807211"/>
    <w:rsid w:val="00826DC7"/>
    <w:rsid w:val="008A3858"/>
    <w:rsid w:val="00917D55"/>
    <w:rsid w:val="009840BA"/>
    <w:rsid w:val="009F7696"/>
    <w:rsid w:val="00A03876"/>
    <w:rsid w:val="00A13C7B"/>
    <w:rsid w:val="00A47963"/>
    <w:rsid w:val="00AE1A2A"/>
    <w:rsid w:val="00B06F1C"/>
    <w:rsid w:val="00B52D22"/>
    <w:rsid w:val="00B83D8D"/>
    <w:rsid w:val="00B95FEE"/>
    <w:rsid w:val="00BC7FC4"/>
    <w:rsid w:val="00BE761C"/>
    <w:rsid w:val="00BF2B0B"/>
    <w:rsid w:val="00D30FAD"/>
    <w:rsid w:val="00D33D22"/>
    <w:rsid w:val="00D368DC"/>
    <w:rsid w:val="00D95C36"/>
    <w:rsid w:val="00D97342"/>
    <w:rsid w:val="00F4320C"/>
    <w:rsid w:val="00F56F4A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11373"/>
  <w15:chartTrackingRefBased/>
  <w15:docId w15:val="{789147A7-0BE1-48FB-8EC3-9943BA42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4E0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26DC7"/>
    <w:pPr>
      <w:ind w:left="720"/>
      <w:contextualSpacing/>
    </w:pPr>
  </w:style>
  <w:style w:type="paragraph" w:styleId="aa">
    <w:name w:val="header"/>
    <w:basedOn w:val="a"/>
    <w:link w:val="ab"/>
    <w:uiPriority w:val="99"/>
    <w:rsid w:val="00D30F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0FAD"/>
    <w:rPr>
      <w:sz w:val="28"/>
    </w:rPr>
  </w:style>
  <w:style w:type="paragraph" w:styleId="ac">
    <w:name w:val="footer"/>
    <w:basedOn w:val="a"/>
    <w:link w:val="ad"/>
    <w:rsid w:val="00D30F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30FAD"/>
    <w:rPr>
      <w:sz w:val="28"/>
    </w:rPr>
  </w:style>
  <w:style w:type="paragraph" w:styleId="ae">
    <w:name w:val="No Spacing"/>
    <w:uiPriority w:val="1"/>
    <w:qFormat/>
    <w:rsid w:val="00BE761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2025-11-01T09:12:00Z</cp:lastPrinted>
  <dcterms:created xsi:type="dcterms:W3CDTF">2025-11-11T13:36:00Z</dcterms:created>
  <dcterms:modified xsi:type="dcterms:W3CDTF">2025-11-11T13:36:00Z</dcterms:modified>
</cp:coreProperties>
</file>